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6AF6DC" w14:textId="77777777" w:rsidR="00820113" w:rsidRDefault="00000000">
      <w:pPr>
        <w:jc w:val="center"/>
      </w:pPr>
      <w:r>
        <w:rPr>
          <w:noProof/>
        </w:rPr>
        <w:drawing>
          <wp:inline distT="0" distB="0" distL="0" distR="0" wp14:anchorId="5FD385E5" wp14:editId="50C4908F">
            <wp:extent cx="5943600" cy="2194024"/>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astal Edge top banner(1).jpeg"/>
                    <pic:cNvPicPr/>
                  </pic:nvPicPr>
                  <pic:blipFill>
                    <a:blip r:embed="rId8"/>
                    <a:stretch>
                      <a:fillRect/>
                    </a:stretch>
                  </pic:blipFill>
                  <pic:spPr>
                    <a:xfrm>
                      <a:off x="0" y="0"/>
                      <a:ext cx="5943600" cy="2194024"/>
                    </a:xfrm>
                    <a:prstGeom prst="rect">
                      <a:avLst/>
                    </a:prstGeom>
                  </pic:spPr>
                </pic:pic>
              </a:graphicData>
            </a:graphic>
          </wp:inline>
        </w:drawing>
      </w:r>
    </w:p>
    <w:p w14:paraId="06D926C5" w14:textId="77777777" w:rsidR="00820113" w:rsidRDefault="00000000">
      <w:pPr>
        <w:jc w:val="center"/>
      </w:pPr>
      <w:r>
        <w:rPr>
          <w:color w:val="007582"/>
        </w:rPr>
        <w:t>Aerial Site Intelligence | Site Readiness | Coordination Outreach | Preliminary Mapping &amp; Terrain Assessment</w:t>
      </w:r>
    </w:p>
    <w:tbl>
      <w:tblPr>
        <w:tblW w:w="0" w:type="auto"/>
        <w:tblLook w:val="04A0" w:firstRow="1" w:lastRow="0" w:firstColumn="1" w:lastColumn="0" w:noHBand="0" w:noVBand="1"/>
      </w:tblPr>
      <w:tblGrid>
        <w:gridCol w:w="10348"/>
      </w:tblGrid>
      <w:tr w:rsidR="00820113" w14:paraId="4AE37199" w14:textId="77777777">
        <w:tc>
          <w:tcPr>
            <w:tcW w:w="10368" w:type="dxa"/>
            <w:tcBorders>
              <w:top w:val="single" w:sz="8" w:space="0" w:color="D7E2E6"/>
              <w:left w:val="single" w:sz="8" w:space="0" w:color="D7E2E6"/>
              <w:bottom w:val="single" w:sz="8" w:space="0" w:color="D7E2E6"/>
              <w:right w:val="single" w:sz="8" w:space="0" w:color="D7E2E6"/>
            </w:tcBorders>
            <w:shd w:val="clear" w:color="auto" w:fill="EEF3F5"/>
            <w:vAlign w:val="center"/>
          </w:tcPr>
          <w:p w14:paraId="53B110EF" w14:textId="77777777" w:rsidR="00820113" w:rsidRDefault="00000000">
            <w:pPr>
              <w:spacing w:before="100" w:after="100"/>
              <w:jc w:val="center"/>
            </w:pPr>
            <w:r>
              <w:t>Coastal Edge Infrastructure provides aerial site intelligence, site-readiness context, preliminary mapping, terrain/elevation visualization, and coordination support for infrastructure projects that need organized visual and dimensional context before design, permitting, utility, or construction coordination advances.</w:t>
            </w:r>
          </w:p>
        </w:tc>
      </w:tr>
    </w:tbl>
    <w:p w14:paraId="1289CD15" w14:textId="77777777" w:rsidR="00820113" w:rsidRDefault="00820113"/>
    <w:tbl>
      <w:tblPr>
        <w:tblW w:w="0" w:type="auto"/>
        <w:tblLook w:val="04A0" w:firstRow="1" w:lastRow="0" w:firstColumn="1" w:lastColumn="0" w:noHBand="0" w:noVBand="1"/>
      </w:tblPr>
      <w:tblGrid>
        <w:gridCol w:w="10368"/>
      </w:tblGrid>
      <w:tr w:rsidR="00820113" w14:paraId="077F8864" w14:textId="77777777">
        <w:tc>
          <w:tcPr>
            <w:tcW w:w="10368" w:type="dxa"/>
            <w:tcBorders>
              <w:top w:val="single" w:sz="6" w:space="0" w:color="022B53"/>
              <w:bottom w:val="single" w:sz="6" w:space="0" w:color="022B53"/>
            </w:tcBorders>
            <w:shd w:val="clear" w:color="auto" w:fill="022B53"/>
          </w:tcPr>
          <w:p w14:paraId="4B8D5194" w14:textId="433DB2FA" w:rsidR="00820113" w:rsidRDefault="00EC588E">
            <w:pPr>
              <w:spacing w:before="80" w:after="80"/>
            </w:pPr>
            <w:r>
              <w:rPr>
                <w:rFonts w:ascii="Aptos Display" w:hAnsi="Aptos Display"/>
                <w:b/>
                <w:color w:val="FFFFFF"/>
                <w:sz w:val="24"/>
              </w:rPr>
              <w:t>AVAILABLE REPORTS</w:t>
            </w:r>
          </w:p>
        </w:tc>
      </w:tr>
    </w:tbl>
    <w:p w14:paraId="42A00DD7" w14:textId="77777777" w:rsidR="00820113" w:rsidRDefault="00000000">
      <w:pPr>
        <w:spacing w:before="200" w:after="100"/>
      </w:pPr>
      <w:r>
        <w:rPr>
          <w:rFonts w:ascii="Aptos Display" w:hAnsi="Aptos Display"/>
          <w:b/>
          <w:color w:val="022B53"/>
          <w:sz w:val="36"/>
        </w:rPr>
        <w:t>Aerial Site Intelligence Report</w:t>
      </w:r>
    </w:p>
    <w:p w14:paraId="061C6017" w14:textId="77777777" w:rsidR="00EC588E" w:rsidRDefault="00EC588E" w:rsidP="00EC588E">
      <w:pPr>
        <w:spacing w:after="80"/>
      </w:pPr>
      <w:r>
        <w:rPr>
          <w:i/>
          <w:color w:val="007582"/>
        </w:rPr>
        <w:t>Comprehensive aerial documentation and visual coordination.</w:t>
      </w:r>
    </w:p>
    <w:p w14:paraId="55375028" w14:textId="6F8198CA" w:rsidR="00820113" w:rsidRDefault="00EC588E" w:rsidP="00EC588E">
      <w:pPr>
        <w:spacing w:after="80"/>
      </w:pPr>
      <w:r>
        <w:t>Comprehensive aerial documentation and visual coordination package designed to help infrastructure teams understand existing conditions before design, permitting, or construction coordination advances.</w:t>
      </w:r>
    </w:p>
    <w:p w14:paraId="460AF7A8" w14:textId="77777777" w:rsidR="00820113" w:rsidRDefault="00000000">
      <w:pPr>
        <w:spacing w:before="40" w:after="40"/>
      </w:pPr>
      <w:r>
        <w:rPr>
          <w:b/>
          <w:color w:val="007582"/>
          <w:sz w:val="19"/>
        </w:rPr>
        <w:t>Typical deliverables may include:</w:t>
      </w:r>
    </w:p>
    <w:p w14:paraId="2DCBBBCD" w14:textId="77777777" w:rsidR="00820113" w:rsidRDefault="00000000">
      <w:pPr>
        <w:pStyle w:val="ListBullet"/>
        <w:spacing w:after="40"/>
        <w:ind w:hanging="216"/>
      </w:pPr>
      <w:r>
        <w:rPr>
          <w:sz w:val="19"/>
        </w:rPr>
        <w:t>High-resolution aerial site overview</w:t>
      </w:r>
    </w:p>
    <w:p w14:paraId="7BF08428" w14:textId="77777777" w:rsidR="00820113" w:rsidRDefault="00000000">
      <w:pPr>
        <w:pStyle w:val="ListBullet"/>
        <w:spacing w:after="40"/>
        <w:ind w:hanging="216"/>
      </w:pPr>
      <w:r>
        <w:rPr>
          <w:sz w:val="19"/>
        </w:rPr>
        <w:t>Existing conditions documentation</w:t>
      </w:r>
    </w:p>
    <w:p w14:paraId="550AE6D2" w14:textId="77777777" w:rsidR="00820113" w:rsidRDefault="00000000">
      <w:pPr>
        <w:pStyle w:val="ListBullet"/>
        <w:spacing w:after="40"/>
        <w:ind w:hanging="216"/>
      </w:pPr>
      <w:r>
        <w:rPr>
          <w:sz w:val="19"/>
        </w:rPr>
        <w:t>Aerial and site photos</w:t>
      </w:r>
    </w:p>
    <w:p w14:paraId="1E45DC89" w14:textId="77777777" w:rsidR="00820113" w:rsidRDefault="00000000">
      <w:pPr>
        <w:pStyle w:val="ListBullet"/>
        <w:spacing w:after="40"/>
        <w:ind w:hanging="216"/>
      </w:pPr>
      <w:r>
        <w:rPr>
          <w:sz w:val="19"/>
        </w:rPr>
        <w:t>Basic annotated aerial visuals</w:t>
      </w:r>
    </w:p>
    <w:p w14:paraId="792A29DD" w14:textId="77777777" w:rsidR="00820113" w:rsidRDefault="00000000">
      <w:pPr>
        <w:pStyle w:val="ListBullet"/>
        <w:spacing w:after="40"/>
        <w:ind w:hanging="216"/>
      </w:pPr>
      <w:r>
        <w:rPr>
          <w:sz w:val="19"/>
        </w:rPr>
        <w:t>Site access and surrounding context visualization</w:t>
      </w:r>
    </w:p>
    <w:p w14:paraId="61950908" w14:textId="77777777" w:rsidR="00820113" w:rsidRDefault="00000000">
      <w:pPr>
        <w:pStyle w:val="ListBullet"/>
        <w:spacing w:after="40"/>
        <w:ind w:hanging="216"/>
      </w:pPr>
      <w:r>
        <w:rPr>
          <w:sz w:val="19"/>
        </w:rPr>
        <w:t>Visible site constraint observations</w:t>
      </w:r>
    </w:p>
    <w:p w14:paraId="2D885A97" w14:textId="77777777" w:rsidR="00820113" w:rsidRDefault="00000000">
      <w:pPr>
        <w:pStyle w:val="ListBullet"/>
        <w:spacing w:after="40"/>
        <w:ind w:hanging="216"/>
      </w:pPr>
      <w:r>
        <w:rPr>
          <w:sz w:val="19"/>
        </w:rPr>
        <w:t>Visible utility, drainage, vegetation, access, or obstruction observations when present</w:t>
      </w:r>
    </w:p>
    <w:p w14:paraId="63080ECC" w14:textId="77777777" w:rsidR="00820113" w:rsidRDefault="00000000">
      <w:pPr>
        <w:pStyle w:val="ListBullet"/>
        <w:spacing w:after="40"/>
        <w:ind w:hanging="216"/>
      </w:pPr>
      <w:r>
        <w:rPr>
          <w:sz w:val="19"/>
        </w:rPr>
        <w:t>Basic coordination notes</w:t>
      </w:r>
    </w:p>
    <w:p w14:paraId="1819EEBC" w14:textId="126086D1" w:rsidR="00EC588E" w:rsidRPr="00EC588E" w:rsidRDefault="00000000" w:rsidP="00EC588E">
      <w:pPr>
        <w:pStyle w:val="ListBullet"/>
        <w:spacing w:after="40"/>
        <w:ind w:hanging="216"/>
      </w:pPr>
      <w:r>
        <w:rPr>
          <w:sz w:val="19"/>
        </w:rPr>
        <w:t>Shareable PDF report</w:t>
      </w:r>
    </w:p>
    <w:p w14:paraId="5CF841B0" w14:textId="3107ECF3" w:rsidR="00820113" w:rsidRDefault="00000000">
      <w:pPr>
        <w:spacing w:before="200" w:after="100"/>
      </w:pPr>
      <w:r>
        <w:rPr>
          <w:rFonts w:ascii="Aptos Display" w:hAnsi="Aptos Display"/>
          <w:b/>
          <w:color w:val="022B53"/>
          <w:sz w:val="36"/>
        </w:rPr>
        <w:t>Site Readiness Intelligence Report</w:t>
      </w:r>
    </w:p>
    <w:p w14:paraId="3AFCE709" w14:textId="77777777" w:rsidR="00820113" w:rsidRDefault="00000000">
      <w:pPr>
        <w:spacing w:after="80"/>
      </w:pPr>
      <w:r>
        <w:rPr>
          <w:i/>
          <w:color w:val="007582"/>
        </w:rPr>
        <w:t>Aerial intelligence plus available parcel, GIS, utility, access, and site-readiness context.</w:t>
      </w:r>
    </w:p>
    <w:p w14:paraId="133825E7" w14:textId="77777777" w:rsidR="00820113" w:rsidRDefault="00000000">
      <w:pPr>
        <w:spacing w:after="120" w:line="252" w:lineRule="auto"/>
      </w:pPr>
      <w:r>
        <w:t>Includes the Aerial Site Intelligence Report, plus parcel, public-record, GIS, utility visibility, access, and construction-readiness observations. This report is designed for teams that need more than photos, but do not yet need direct utility or jurisdiction outreach.</w:t>
      </w:r>
    </w:p>
    <w:p w14:paraId="6C12DC64" w14:textId="77777777" w:rsidR="00820113" w:rsidRDefault="00000000">
      <w:pPr>
        <w:spacing w:before="40" w:after="40"/>
      </w:pPr>
      <w:r>
        <w:rPr>
          <w:b/>
          <w:color w:val="007582"/>
          <w:sz w:val="19"/>
        </w:rPr>
        <w:t>Typical deliverables may include:</w:t>
      </w:r>
    </w:p>
    <w:p w14:paraId="2A9DE17D" w14:textId="77777777" w:rsidR="00820113" w:rsidRDefault="00000000">
      <w:pPr>
        <w:pStyle w:val="ListBullet"/>
        <w:spacing w:after="40"/>
        <w:ind w:hanging="216"/>
      </w:pPr>
      <w:r>
        <w:rPr>
          <w:sz w:val="19"/>
        </w:rPr>
        <w:t>All Aerial Site Intelligence Report items</w:t>
      </w:r>
    </w:p>
    <w:p w14:paraId="05E04750" w14:textId="77777777" w:rsidR="00820113" w:rsidRDefault="00000000">
      <w:pPr>
        <w:pStyle w:val="ListBullet"/>
        <w:spacing w:after="40"/>
        <w:ind w:hanging="216"/>
      </w:pPr>
      <w:r>
        <w:rPr>
          <w:sz w:val="19"/>
        </w:rPr>
        <w:lastRenderedPageBreak/>
        <w:t>Parcel number, parcel size, site coordinates, address, and public ownership information when available</w:t>
      </w:r>
    </w:p>
    <w:p w14:paraId="081C85CF" w14:textId="77777777" w:rsidR="00820113" w:rsidRDefault="00000000">
      <w:pPr>
        <w:pStyle w:val="ListBullet"/>
        <w:spacing w:after="40"/>
        <w:ind w:hanging="216"/>
      </w:pPr>
      <w:r>
        <w:rPr>
          <w:sz w:val="19"/>
        </w:rPr>
        <w:t>Parcel and boundary context from public GIS or client-provided information</w:t>
      </w:r>
    </w:p>
    <w:p w14:paraId="4945FD16" w14:textId="77777777" w:rsidR="00820113" w:rsidRDefault="00000000">
      <w:pPr>
        <w:pStyle w:val="ListBullet"/>
        <w:spacing w:after="40"/>
        <w:ind w:hanging="216"/>
      </w:pPr>
      <w:r>
        <w:rPr>
          <w:sz w:val="19"/>
        </w:rPr>
        <w:t>Jurisdiction identification and available zoning classification</w:t>
      </w:r>
    </w:p>
    <w:p w14:paraId="1D0B1940" w14:textId="77777777" w:rsidR="00820113" w:rsidRDefault="00000000">
      <w:pPr>
        <w:pStyle w:val="ListBullet"/>
        <w:spacing w:after="40"/>
        <w:ind w:hanging="216"/>
      </w:pPr>
      <w:r>
        <w:rPr>
          <w:sz w:val="19"/>
        </w:rPr>
        <w:t>Public zoning map and permitting portal review when available</w:t>
      </w:r>
    </w:p>
    <w:p w14:paraId="4DD46113" w14:textId="77777777" w:rsidR="00820113" w:rsidRDefault="00000000">
      <w:pPr>
        <w:pStyle w:val="ListBullet"/>
        <w:spacing w:after="40"/>
        <w:ind w:hanging="216"/>
      </w:pPr>
      <w:r>
        <w:rPr>
          <w:sz w:val="19"/>
        </w:rPr>
        <w:t>Publicly available land-use, setback, overlay, or district context when readily identifiable</w:t>
      </w:r>
    </w:p>
    <w:p w14:paraId="679CF1EA" w14:textId="77777777" w:rsidR="00820113" w:rsidRDefault="00000000">
      <w:pPr>
        <w:pStyle w:val="ListBullet"/>
        <w:spacing w:after="40"/>
        <w:ind w:hanging="216"/>
      </w:pPr>
      <w:r>
        <w:rPr>
          <w:sz w:val="19"/>
        </w:rPr>
        <w:t>Likely electric utility identification from public information when available</w:t>
      </w:r>
    </w:p>
    <w:p w14:paraId="0AF979F3" w14:textId="77777777" w:rsidR="00820113" w:rsidRDefault="00000000">
      <w:pPr>
        <w:pStyle w:val="ListBullet"/>
        <w:spacing w:after="40"/>
        <w:ind w:hanging="216"/>
      </w:pPr>
      <w:r>
        <w:rPr>
          <w:sz w:val="19"/>
        </w:rPr>
        <w:t>Visible power, overhead utility, fiber, cabinet, pedestal, or utility corridor observations</w:t>
      </w:r>
    </w:p>
    <w:p w14:paraId="1FC80DE3" w14:textId="77777777" w:rsidR="00820113" w:rsidRDefault="00000000">
      <w:pPr>
        <w:pStyle w:val="ListBullet"/>
        <w:spacing w:after="40"/>
        <w:ind w:hanging="216"/>
      </w:pPr>
      <w:r>
        <w:rPr>
          <w:sz w:val="19"/>
        </w:rPr>
        <w:t>Access, staging, drainage, terrain, and vegetation observations</w:t>
      </w:r>
    </w:p>
    <w:p w14:paraId="58C97031" w14:textId="77777777" w:rsidR="00820113" w:rsidRDefault="00000000">
      <w:pPr>
        <w:pStyle w:val="ListBullet"/>
        <w:spacing w:after="40"/>
        <w:ind w:hanging="216"/>
      </w:pPr>
      <w:r>
        <w:rPr>
          <w:sz w:val="19"/>
        </w:rPr>
        <w:t>Existing vs. proposed visual context when a proposed layout is provided</w:t>
      </w:r>
    </w:p>
    <w:p w14:paraId="42E1E084" w14:textId="77777777" w:rsidR="00820113" w:rsidRDefault="00000000">
      <w:pPr>
        <w:pStyle w:val="ListBullet"/>
        <w:spacing w:after="40"/>
        <w:ind w:hanging="216"/>
      </w:pPr>
      <w:r>
        <w:rPr>
          <w:sz w:val="19"/>
        </w:rPr>
        <w:t>Coordination risk callouts and recommended next-step matrix</w:t>
      </w:r>
    </w:p>
    <w:p w14:paraId="30E6D3CC" w14:textId="77777777" w:rsidR="00EC588E" w:rsidRDefault="00EC588E" w:rsidP="00EC588E">
      <w:pPr>
        <w:pStyle w:val="ListBullet"/>
        <w:numPr>
          <w:ilvl w:val="0"/>
          <w:numId w:val="0"/>
        </w:numPr>
        <w:spacing w:after="40"/>
        <w:ind w:left="360"/>
      </w:pPr>
    </w:p>
    <w:tbl>
      <w:tblPr>
        <w:tblW w:w="0" w:type="auto"/>
        <w:tblLook w:val="04A0" w:firstRow="1" w:lastRow="0" w:firstColumn="1" w:lastColumn="0" w:noHBand="0" w:noVBand="1"/>
      </w:tblPr>
      <w:tblGrid>
        <w:gridCol w:w="10368"/>
      </w:tblGrid>
      <w:tr w:rsidR="00820113" w14:paraId="41BA46CD" w14:textId="77777777">
        <w:tc>
          <w:tcPr>
            <w:tcW w:w="10368" w:type="dxa"/>
            <w:tcBorders>
              <w:top w:val="single" w:sz="6" w:space="0" w:color="022B53"/>
              <w:bottom w:val="single" w:sz="6" w:space="0" w:color="022B53"/>
            </w:tcBorders>
            <w:shd w:val="clear" w:color="auto" w:fill="022B53"/>
          </w:tcPr>
          <w:p w14:paraId="05DB1B7D" w14:textId="77777777" w:rsidR="00820113" w:rsidRDefault="00000000">
            <w:pPr>
              <w:spacing w:before="80" w:after="80"/>
            </w:pPr>
            <w:r>
              <w:rPr>
                <w:rFonts w:ascii="Aptos Display" w:hAnsi="Aptos Display"/>
                <w:b/>
                <w:color w:val="FFFFFF"/>
                <w:sz w:val="24"/>
              </w:rPr>
              <w:t>A LA CARTE SERVICES</w:t>
            </w:r>
          </w:p>
        </w:tc>
      </w:tr>
    </w:tbl>
    <w:p w14:paraId="223B0FC0" w14:textId="16F5BAFD" w:rsidR="00820113" w:rsidRDefault="00000000">
      <w:pPr>
        <w:spacing w:before="200" w:after="100"/>
      </w:pPr>
      <w:r>
        <w:rPr>
          <w:rFonts w:ascii="Aptos Display" w:hAnsi="Aptos Display"/>
          <w:b/>
          <w:color w:val="022B53"/>
          <w:sz w:val="36"/>
        </w:rPr>
        <w:t>Coordination Outreach</w:t>
      </w:r>
    </w:p>
    <w:p w14:paraId="4ED7F418" w14:textId="77777777" w:rsidR="00820113" w:rsidRDefault="00000000">
      <w:pPr>
        <w:spacing w:after="80"/>
      </w:pPr>
      <w:r>
        <w:rPr>
          <w:i/>
          <w:color w:val="007582"/>
        </w:rPr>
        <w:t>Direct outreach to jurisdictional and utility contacts.</w:t>
      </w:r>
    </w:p>
    <w:p w14:paraId="4934748C" w14:textId="59A66F3A" w:rsidR="00D90CAD" w:rsidRDefault="00000000" w:rsidP="00D90CAD">
      <w:pPr>
        <w:spacing w:after="120" w:line="252" w:lineRule="auto"/>
      </w:pPr>
      <w:r>
        <w:t xml:space="preserve">Includes the Site Readiness Intelligence Report, </w:t>
      </w:r>
      <w:r w:rsidR="00D90CAD">
        <w:t>plus d</w:t>
      </w:r>
      <w:r w:rsidR="00D90CAD" w:rsidRPr="00D90CAD">
        <w:t>irect outreach to jurisdictional and utility contacts to clarify permitting, power, utility coordination requirements, and available timeline guidance. Includes a 30-day coordination period with response tracking, open-item updates, and recommended next steps. Additional 30-day coordination periods may be renewed as needed.</w:t>
      </w:r>
    </w:p>
    <w:p w14:paraId="42EB46EF" w14:textId="64165E81" w:rsidR="00820113" w:rsidRDefault="00000000" w:rsidP="00D90CAD">
      <w:pPr>
        <w:spacing w:after="120" w:line="252" w:lineRule="auto"/>
      </w:pPr>
      <w:r>
        <w:rPr>
          <w:b/>
          <w:color w:val="007582"/>
          <w:sz w:val="19"/>
        </w:rPr>
        <w:t>Typical deliverables may include:</w:t>
      </w:r>
    </w:p>
    <w:p w14:paraId="570D0E06" w14:textId="77777777" w:rsidR="00820113" w:rsidRDefault="00000000">
      <w:pPr>
        <w:pStyle w:val="ListBullet"/>
        <w:spacing w:after="40"/>
        <w:ind w:hanging="216"/>
      </w:pPr>
      <w:r>
        <w:rPr>
          <w:sz w:val="19"/>
        </w:rPr>
        <w:t>Initial call or email outreach to identified utility and/or jurisdiction contacts</w:t>
      </w:r>
    </w:p>
    <w:p w14:paraId="2ADFD5CC" w14:textId="77777777" w:rsidR="00820113" w:rsidRDefault="00000000">
      <w:pPr>
        <w:pStyle w:val="ListBullet"/>
        <w:spacing w:after="40"/>
        <w:ind w:hanging="216"/>
      </w:pPr>
      <w:r>
        <w:rPr>
          <w:sz w:val="19"/>
        </w:rPr>
        <w:t>Utility and jurisdiction contact-path confirmation when available</w:t>
      </w:r>
    </w:p>
    <w:p w14:paraId="6819AFE0" w14:textId="77777777" w:rsidR="00820113" w:rsidRDefault="00000000">
      <w:pPr>
        <w:pStyle w:val="ListBullet"/>
        <w:spacing w:after="40"/>
        <w:ind w:hanging="216"/>
      </w:pPr>
      <w:r>
        <w:rPr>
          <w:sz w:val="19"/>
        </w:rPr>
        <w:t>Preliminary zoning/permitting pathway clarification</w:t>
      </w:r>
    </w:p>
    <w:p w14:paraId="3C7D0A21" w14:textId="77777777" w:rsidR="00820113" w:rsidRDefault="00000000">
      <w:pPr>
        <w:pStyle w:val="ListBullet"/>
        <w:spacing w:after="40"/>
        <w:ind w:hanging="216"/>
      </w:pPr>
      <w:r>
        <w:rPr>
          <w:sz w:val="19"/>
        </w:rPr>
        <w:t>Available zoning/permitting timeline guidance when provided</w:t>
      </w:r>
    </w:p>
    <w:p w14:paraId="23FA6117" w14:textId="77777777" w:rsidR="00820113" w:rsidRDefault="00000000">
      <w:pPr>
        <w:pStyle w:val="ListBullet"/>
        <w:spacing w:after="40"/>
        <w:ind w:hanging="216"/>
      </w:pPr>
      <w:r>
        <w:rPr>
          <w:sz w:val="19"/>
        </w:rPr>
        <w:t>Temporary power / construction power coordination questions when applicable</w:t>
      </w:r>
    </w:p>
    <w:p w14:paraId="576B85AC" w14:textId="77777777" w:rsidR="00820113" w:rsidRDefault="00000000">
      <w:pPr>
        <w:pStyle w:val="ListBullet"/>
        <w:spacing w:after="40"/>
        <w:ind w:hanging="216"/>
      </w:pPr>
      <w:r>
        <w:rPr>
          <w:sz w:val="19"/>
        </w:rPr>
        <w:t>Permanent power coordination questions when applicable</w:t>
      </w:r>
    </w:p>
    <w:p w14:paraId="52F3FAEA" w14:textId="77777777" w:rsidR="00820113" w:rsidRDefault="00000000">
      <w:pPr>
        <w:pStyle w:val="ListBullet"/>
        <w:spacing w:after="40"/>
        <w:ind w:hanging="216"/>
      </w:pPr>
      <w:r>
        <w:rPr>
          <w:sz w:val="19"/>
        </w:rPr>
        <w:t>SMP, stormwater, or land disturbance threshold guidance when available</w:t>
      </w:r>
    </w:p>
    <w:p w14:paraId="74EDBE44" w14:textId="77777777" w:rsidR="00820113" w:rsidRDefault="00000000">
      <w:pPr>
        <w:pStyle w:val="ListBullet"/>
        <w:spacing w:after="40"/>
        <w:ind w:hanging="216"/>
      </w:pPr>
      <w:r>
        <w:rPr>
          <w:sz w:val="19"/>
        </w:rPr>
        <w:t>Required application or submittal awareness when provided</w:t>
      </w:r>
    </w:p>
    <w:p w14:paraId="5FA9400C" w14:textId="77777777" w:rsidR="00820113" w:rsidRDefault="00000000">
      <w:pPr>
        <w:pStyle w:val="ListBullet"/>
        <w:spacing w:after="40"/>
        <w:ind w:hanging="216"/>
      </w:pPr>
      <w:r>
        <w:rPr>
          <w:sz w:val="19"/>
        </w:rPr>
        <w:t>Notes from calls/emails, response log, open-item tracker, and recommended next-step matrix</w:t>
      </w:r>
    </w:p>
    <w:p w14:paraId="7265C39C" w14:textId="028A35F8" w:rsidR="00820113" w:rsidRDefault="00000000">
      <w:pPr>
        <w:spacing w:before="200" w:after="100"/>
      </w:pPr>
      <w:r>
        <w:rPr>
          <w:rFonts w:ascii="Aptos Display" w:hAnsi="Aptos Display"/>
          <w:b/>
          <w:color w:val="022B53"/>
          <w:sz w:val="36"/>
        </w:rPr>
        <w:t>Preliminary Aerial Mapping &amp; Terrain/Elevation Assessment</w:t>
      </w:r>
    </w:p>
    <w:p w14:paraId="450E248B" w14:textId="77777777" w:rsidR="00820113" w:rsidRDefault="00000000">
      <w:pPr>
        <w:spacing w:after="80"/>
      </w:pPr>
      <w:r>
        <w:rPr>
          <w:i/>
          <w:color w:val="007582"/>
        </w:rPr>
        <w:t>Controlled grid mapping, preliminary map exhibits, approximate measurements, and terrain/elevation awareness.</w:t>
      </w:r>
    </w:p>
    <w:p w14:paraId="4A9CBF7D" w14:textId="77777777" w:rsidR="00820113" w:rsidRDefault="00000000">
      <w:pPr>
        <w:spacing w:after="120" w:line="252" w:lineRule="auto"/>
      </w:pPr>
      <w:r>
        <w:t>An optional mapping and terrain-focused service supporting early awareness of site layout, slope, drainage tendency, access, and grading considerations. This service is not limited to terrain. It may include controlled drone grid capture, preliminary map-style exhibits, approximate visual measurements, aerial reference targets where feasible, and terrain/elevation visualization when processing quality supports it.</w:t>
      </w:r>
    </w:p>
    <w:p w14:paraId="7A6AF3D3" w14:textId="77777777" w:rsidR="00820113" w:rsidRDefault="00000000">
      <w:pPr>
        <w:spacing w:before="40" w:after="40"/>
      </w:pPr>
      <w:r>
        <w:rPr>
          <w:b/>
          <w:color w:val="007582"/>
          <w:sz w:val="19"/>
        </w:rPr>
        <w:t>Typical deliverables may include:</w:t>
      </w:r>
    </w:p>
    <w:p w14:paraId="7418E88D" w14:textId="77777777" w:rsidR="00820113" w:rsidRDefault="00000000">
      <w:pPr>
        <w:pStyle w:val="ListBullet"/>
        <w:spacing w:after="40"/>
        <w:ind w:hanging="216"/>
      </w:pPr>
      <w:r>
        <w:rPr>
          <w:sz w:val="19"/>
        </w:rPr>
        <w:t>Controlled drone grid capture for preliminary aerial mapping</w:t>
      </w:r>
    </w:p>
    <w:p w14:paraId="7A9E4FA5" w14:textId="77777777" w:rsidR="00820113" w:rsidRDefault="00000000">
      <w:pPr>
        <w:pStyle w:val="ListBullet"/>
        <w:spacing w:after="40"/>
        <w:ind w:hanging="216"/>
      </w:pPr>
      <w:r>
        <w:rPr>
          <w:sz w:val="19"/>
        </w:rPr>
        <w:t>Nadir/top-down image collection</w:t>
      </w:r>
    </w:p>
    <w:p w14:paraId="266278D6" w14:textId="77777777" w:rsidR="00820113" w:rsidRDefault="00000000">
      <w:pPr>
        <w:pStyle w:val="ListBullet"/>
        <w:spacing w:after="40"/>
        <w:ind w:hanging="216"/>
      </w:pPr>
      <w:r>
        <w:rPr>
          <w:sz w:val="19"/>
        </w:rPr>
        <w:t>Stitched aerial map exhibit when processing quality supports it</w:t>
      </w:r>
    </w:p>
    <w:p w14:paraId="2AC26204" w14:textId="77777777" w:rsidR="00820113" w:rsidRDefault="00000000">
      <w:pPr>
        <w:pStyle w:val="ListBullet"/>
        <w:spacing w:after="40"/>
        <w:ind w:hanging="216"/>
      </w:pPr>
      <w:r>
        <w:rPr>
          <w:sz w:val="19"/>
        </w:rPr>
        <w:t>Approximate scale/context measurements</w:t>
      </w:r>
    </w:p>
    <w:p w14:paraId="7E36F6BC" w14:textId="77777777" w:rsidR="00820113" w:rsidRDefault="00000000">
      <w:pPr>
        <w:pStyle w:val="ListBullet"/>
        <w:spacing w:after="40"/>
        <w:ind w:hanging="216"/>
      </w:pPr>
      <w:r>
        <w:rPr>
          <w:sz w:val="19"/>
        </w:rPr>
        <w:t>Approximate access route, area, or site relationship measurements when applicable</w:t>
      </w:r>
    </w:p>
    <w:p w14:paraId="1DA48ED9" w14:textId="77777777" w:rsidR="00820113" w:rsidRDefault="00000000">
      <w:pPr>
        <w:pStyle w:val="ListBullet"/>
        <w:spacing w:after="40"/>
        <w:ind w:hanging="216"/>
      </w:pPr>
      <w:r>
        <w:rPr>
          <w:sz w:val="19"/>
        </w:rPr>
        <w:t>Aerial reference targets where feasible and site access allows</w:t>
      </w:r>
    </w:p>
    <w:p w14:paraId="4D08DABF" w14:textId="77777777" w:rsidR="00820113" w:rsidRDefault="00000000">
      <w:pPr>
        <w:pStyle w:val="ListBullet"/>
        <w:spacing w:after="40"/>
        <w:ind w:hanging="216"/>
      </w:pPr>
      <w:r>
        <w:rPr>
          <w:sz w:val="19"/>
        </w:rPr>
        <w:t>Field reference measurements when available and practical</w:t>
      </w:r>
    </w:p>
    <w:p w14:paraId="67BCA8E7" w14:textId="77777777" w:rsidR="00820113" w:rsidRDefault="00000000">
      <w:pPr>
        <w:pStyle w:val="ListBullet"/>
        <w:spacing w:after="40"/>
        <w:ind w:hanging="216"/>
      </w:pPr>
      <w:r>
        <w:rPr>
          <w:sz w:val="19"/>
        </w:rPr>
        <w:lastRenderedPageBreak/>
        <w:t>Preliminary terrain/elevation visualization when processing quality supports it</w:t>
      </w:r>
    </w:p>
    <w:p w14:paraId="4BA885C0" w14:textId="77777777" w:rsidR="00820113" w:rsidRDefault="00000000">
      <w:pPr>
        <w:pStyle w:val="ListBullet"/>
        <w:spacing w:after="40"/>
        <w:ind w:hanging="216"/>
      </w:pPr>
      <w:r>
        <w:rPr>
          <w:sz w:val="19"/>
        </w:rPr>
        <w:t>Contour-style terrain visualization when available and appropriate</w:t>
      </w:r>
    </w:p>
    <w:p w14:paraId="1B1FFCCE" w14:textId="77777777" w:rsidR="00820113" w:rsidRDefault="00000000">
      <w:pPr>
        <w:pStyle w:val="ListBullet"/>
        <w:spacing w:after="40"/>
        <w:ind w:hanging="216"/>
      </w:pPr>
      <w:r>
        <w:rPr>
          <w:sz w:val="19"/>
        </w:rPr>
        <w:t>Slope awareness and drainage tendency observations</w:t>
      </w:r>
    </w:p>
    <w:p w14:paraId="35322D73" w14:textId="77777777" w:rsidR="00820113" w:rsidRDefault="00000000">
      <w:pPr>
        <w:pStyle w:val="ListBullet"/>
        <w:spacing w:after="40"/>
        <w:ind w:hanging="216"/>
      </w:pPr>
      <w:r>
        <w:rPr>
          <w:sz w:val="19"/>
        </w:rPr>
        <w:t>Terrain-focused annotations and preliminary grading/access observations</w:t>
      </w:r>
    </w:p>
    <w:p w14:paraId="61065A9C" w14:textId="77777777" w:rsidR="00820113" w:rsidRDefault="00000000">
      <w:pPr>
        <w:pStyle w:val="ListBullet"/>
        <w:spacing w:after="40"/>
        <w:ind w:hanging="216"/>
      </w:pPr>
      <w:r>
        <w:rPr>
          <w:sz w:val="19"/>
        </w:rPr>
        <w:t>Map-style PDF exhibit</w:t>
      </w:r>
    </w:p>
    <w:p w14:paraId="4BCEF79A" w14:textId="77777777" w:rsidR="00820113" w:rsidRDefault="00000000">
      <w:pPr>
        <w:pStyle w:val="ListBullet"/>
        <w:spacing w:after="40"/>
        <w:ind w:hanging="216"/>
      </w:pPr>
      <w:r>
        <w:rPr>
          <w:sz w:val="19"/>
        </w:rPr>
        <w:t>Optional KML/KMZ export when supported by workflow</w:t>
      </w:r>
    </w:p>
    <w:p w14:paraId="5DFD9C1F" w14:textId="77777777" w:rsidR="00820113" w:rsidRDefault="00000000">
      <w:pPr>
        <w:pStyle w:val="ListBullet"/>
        <w:spacing w:after="40"/>
        <w:ind w:hanging="216"/>
      </w:pPr>
      <w:r>
        <w:rPr>
          <w:sz w:val="19"/>
        </w:rPr>
        <w:t>Optional CAD-friendly export, such as DXF or other compatible output, when supported by workflow</w:t>
      </w:r>
    </w:p>
    <w:p w14:paraId="1F4387C5" w14:textId="5211484D" w:rsidR="00820113" w:rsidRDefault="00820113" w:rsidP="006A13D2">
      <w:pPr>
        <w:pStyle w:val="ListBullet"/>
        <w:numPr>
          <w:ilvl w:val="0"/>
          <w:numId w:val="0"/>
        </w:numPr>
        <w:spacing w:after="40"/>
        <w:ind w:left="360"/>
      </w:pPr>
    </w:p>
    <w:tbl>
      <w:tblPr>
        <w:tblW w:w="0" w:type="auto"/>
        <w:tblLook w:val="04A0" w:firstRow="1" w:lastRow="0" w:firstColumn="1" w:lastColumn="0" w:noHBand="0" w:noVBand="1"/>
      </w:tblPr>
      <w:tblGrid>
        <w:gridCol w:w="10368"/>
      </w:tblGrid>
      <w:tr w:rsidR="00820113" w14:paraId="62483517" w14:textId="77777777">
        <w:tc>
          <w:tcPr>
            <w:tcW w:w="10368" w:type="dxa"/>
            <w:tcBorders>
              <w:top w:val="single" w:sz="6" w:space="0" w:color="022B53"/>
              <w:bottom w:val="single" w:sz="6" w:space="0" w:color="022B53"/>
            </w:tcBorders>
            <w:shd w:val="clear" w:color="auto" w:fill="022B53"/>
          </w:tcPr>
          <w:p w14:paraId="7CBC63A9" w14:textId="77777777" w:rsidR="00820113" w:rsidRDefault="00000000">
            <w:pPr>
              <w:spacing w:before="80" w:after="80"/>
            </w:pPr>
            <w:r>
              <w:rPr>
                <w:rFonts w:ascii="Aptos Display" w:hAnsi="Aptos Display"/>
                <w:b/>
                <w:color w:val="FFFFFF"/>
                <w:sz w:val="24"/>
              </w:rPr>
              <w:t>IMPORTANT LIMITATIONS</w:t>
            </w:r>
          </w:p>
        </w:tc>
      </w:tr>
    </w:tbl>
    <w:p w14:paraId="0729A660" w14:textId="77777777" w:rsidR="00820113" w:rsidRDefault="00000000">
      <w:pPr>
        <w:spacing w:after="100" w:line="252" w:lineRule="auto"/>
      </w:pPr>
      <w:r>
        <w:t>CEI deliverables are preliminary visual and dimensional coordination aids only. CEI does not provide survey-grade mapping, engineering-certified analysis, legal opinions, zoning determinations, permitting approvals, utility capacity confirmations, boundary determinations, construction staking, final grading, drainage calculations, or certified design documents.</w:t>
      </w:r>
    </w:p>
    <w:p w14:paraId="63E05D61" w14:textId="77777777" w:rsidR="00820113" w:rsidRDefault="00000000">
      <w:pPr>
        <w:spacing w:after="100" w:line="252" w:lineRule="auto"/>
      </w:pPr>
      <w:r>
        <w:t>Aerial map exhibits, measurements, overlays, contour-style visuals, terrain/elevation graphics, scale references, CAD-friendly exports, and KML/KMZ files are approximate coordination aids intended for planning, coordination, and early design scoping. They are not survey-grade, engineering-certified, or suitable for legal, boundary, permitting, final design, grading, drainage, stormwater calculations, construction staking, or certified topographic use.</w:t>
      </w:r>
    </w:p>
    <w:p w14:paraId="316B4E65" w14:textId="77777777" w:rsidR="00820113" w:rsidRDefault="00000000">
      <w:pPr>
        <w:spacing w:after="60" w:line="252" w:lineRule="auto"/>
      </w:pPr>
      <w:r>
        <w:t>Final requirements, capacities, timelines, approvals, boundaries, elevations, and design decisions must be verified by the client, engineer, surveyor, utility provider, jurisdiction, or applicable authority.</w:t>
      </w:r>
    </w:p>
    <w:tbl>
      <w:tblPr>
        <w:tblW w:w="0" w:type="auto"/>
        <w:tblLook w:val="04A0" w:firstRow="1" w:lastRow="0" w:firstColumn="1" w:lastColumn="0" w:noHBand="0" w:noVBand="1"/>
      </w:tblPr>
      <w:tblGrid>
        <w:gridCol w:w="10348"/>
      </w:tblGrid>
      <w:tr w:rsidR="00820113" w14:paraId="536A5E80" w14:textId="77777777">
        <w:tc>
          <w:tcPr>
            <w:tcW w:w="10368" w:type="dxa"/>
            <w:tcBorders>
              <w:top w:val="single" w:sz="8" w:space="0" w:color="022B53"/>
              <w:left w:val="single" w:sz="8" w:space="0" w:color="022B53"/>
              <w:bottom w:val="single" w:sz="8" w:space="0" w:color="022B53"/>
              <w:right w:val="single" w:sz="8" w:space="0" w:color="022B53"/>
            </w:tcBorders>
            <w:shd w:val="clear" w:color="auto" w:fill="022B53"/>
          </w:tcPr>
          <w:p w14:paraId="7CAB51B4" w14:textId="77777777" w:rsidR="00820113" w:rsidRDefault="00000000">
            <w:pPr>
              <w:spacing w:before="120" w:after="120"/>
              <w:jc w:val="center"/>
            </w:pPr>
            <w:r>
              <w:rPr>
                <w:b/>
                <w:color w:val="FFFFFF"/>
                <w:sz w:val="19"/>
              </w:rPr>
              <w:t>Ryan@CoastalEdgeInfrastructure.com  |  (717) 808-0072  |  www.coastaledgeinfrastructure.com</w:t>
            </w:r>
          </w:p>
        </w:tc>
      </w:tr>
    </w:tbl>
    <w:p w14:paraId="35DF2AF6" w14:textId="7DF841A4" w:rsidR="00EC588E" w:rsidRPr="00EC588E" w:rsidRDefault="00EC588E" w:rsidP="00EC588E">
      <w:pPr>
        <w:tabs>
          <w:tab w:val="left" w:pos="3840"/>
        </w:tabs>
      </w:pPr>
    </w:p>
    <w:sectPr w:rsidR="00EC588E" w:rsidRPr="00EC588E" w:rsidSect="00034616">
      <w:footerReference w:type="default" r:id="rId9"/>
      <w:pgSz w:w="12240" w:h="15840"/>
      <w:pgMar w:top="792" w:right="936" w:bottom="792" w:left="93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7FDC6B" w14:textId="77777777" w:rsidR="002D6B0F" w:rsidRDefault="002D6B0F">
      <w:pPr>
        <w:spacing w:after="0" w:line="240" w:lineRule="auto"/>
      </w:pPr>
      <w:r>
        <w:separator/>
      </w:r>
    </w:p>
  </w:endnote>
  <w:endnote w:type="continuationSeparator" w:id="0">
    <w:p w14:paraId="0DEF3EAC" w14:textId="77777777" w:rsidR="002D6B0F" w:rsidRDefault="002D6B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AB05CD" w14:textId="77777777" w:rsidR="00820113" w:rsidRDefault="00000000">
    <w:pPr>
      <w:pStyle w:val="Footer"/>
      <w:jc w:val="center"/>
    </w:pPr>
    <w:r>
      <w:rPr>
        <w:sz w:val="16"/>
      </w:rPr>
      <w:t>Coastal Edge Infrastructure | Aerial Site Intelligence &amp; Preliminary Mapping Support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201AE" w14:textId="77777777" w:rsidR="002D6B0F" w:rsidRDefault="002D6B0F">
      <w:pPr>
        <w:spacing w:after="0" w:line="240" w:lineRule="auto"/>
      </w:pPr>
      <w:r>
        <w:separator/>
      </w:r>
    </w:p>
  </w:footnote>
  <w:footnote w:type="continuationSeparator" w:id="0">
    <w:p w14:paraId="0178F965" w14:textId="77777777" w:rsidR="002D6B0F" w:rsidRDefault="002D6B0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275722191">
    <w:abstractNumId w:val="8"/>
  </w:num>
  <w:num w:numId="2" w16cid:durableId="386728620">
    <w:abstractNumId w:val="6"/>
  </w:num>
  <w:num w:numId="3" w16cid:durableId="991451348">
    <w:abstractNumId w:val="5"/>
  </w:num>
  <w:num w:numId="4" w16cid:durableId="1732653617">
    <w:abstractNumId w:val="4"/>
  </w:num>
  <w:num w:numId="5" w16cid:durableId="218516435">
    <w:abstractNumId w:val="7"/>
  </w:num>
  <w:num w:numId="6" w16cid:durableId="694775143">
    <w:abstractNumId w:val="3"/>
  </w:num>
  <w:num w:numId="7" w16cid:durableId="2009093379">
    <w:abstractNumId w:val="2"/>
  </w:num>
  <w:num w:numId="8" w16cid:durableId="1499006066">
    <w:abstractNumId w:val="1"/>
  </w:num>
  <w:num w:numId="9" w16cid:durableId="20597382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15074B"/>
    <w:rsid w:val="0029639D"/>
    <w:rsid w:val="002D6B0F"/>
    <w:rsid w:val="00326F90"/>
    <w:rsid w:val="00476F61"/>
    <w:rsid w:val="006A13D2"/>
    <w:rsid w:val="007875AF"/>
    <w:rsid w:val="00820113"/>
    <w:rsid w:val="00AA1D8D"/>
    <w:rsid w:val="00AD6D9D"/>
    <w:rsid w:val="00B47730"/>
    <w:rsid w:val="00CB0664"/>
    <w:rsid w:val="00D90CAD"/>
    <w:rsid w:val="00EC588E"/>
    <w:rsid w:val="00F7038D"/>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873D718"/>
  <w14:defaultImageDpi w14:val="300"/>
  <w15:docId w15:val="{B4EFA425-E203-42DC-A1A3-2EB7A633A6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Aptos" w:hAnsi="Aptos"/>
      <w:color w:val="465B6B"/>
      <w:sz w:val="21"/>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3</Pages>
  <Words>714</Words>
  <Characters>5409</Characters>
  <Application>Microsoft Office Word</Application>
  <DocSecurity>0</DocSecurity>
  <Lines>91</Lines>
  <Paragraphs>68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6102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Ryan Joline</cp:lastModifiedBy>
  <cp:revision>4</cp:revision>
  <dcterms:created xsi:type="dcterms:W3CDTF">2026-05-24T20:40:00Z</dcterms:created>
  <dcterms:modified xsi:type="dcterms:W3CDTF">2026-05-24T21:40:00Z</dcterms:modified>
  <cp:category/>
</cp:coreProperties>
</file>